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501B" w14:textId="55F0C29C" w:rsidR="008C0A86" w:rsidRPr="00E44608" w:rsidRDefault="00E44608">
      <w:pPr>
        <w:rPr>
          <w:lang w:val="en-US"/>
        </w:rPr>
      </w:pPr>
      <w:bookmarkStart w:id="0" w:name="_GoBack"/>
      <w:bookmarkEnd w:id="0"/>
      <w:r w:rsidRPr="00E44608">
        <w:rPr>
          <w:lang w:val="en-US"/>
        </w:rPr>
        <w:t>Special curriculum in radiation effects in elec</w:t>
      </w:r>
      <w:r>
        <w:rPr>
          <w:lang w:val="en-US"/>
        </w:rPr>
        <w:t>tronics</w:t>
      </w:r>
    </w:p>
    <w:p w14:paraId="4196CAB7" w14:textId="77777777" w:rsidR="008C0A86" w:rsidRPr="00E44608" w:rsidRDefault="008C0A86">
      <w:pPr>
        <w:rPr>
          <w:lang w:val="en-US"/>
        </w:rPr>
      </w:pPr>
    </w:p>
    <w:p w14:paraId="7D4E9051" w14:textId="77777777" w:rsidR="008C0A86" w:rsidRPr="00E44608" w:rsidRDefault="008C0A86">
      <w:pPr>
        <w:rPr>
          <w:lang w:val="en-US"/>
        </w:rPr>
      </w:pPr>
    </w:p>
    <w:p w14:paraId="643AEC54" w14:textId="3DA01C9D" w:rsidR="00865F32" w:rsidRDefault="008C0A86">
      <w:pPr>
        <w:rPr>
          <w:lang w:val="en-US"/>
        </w:rPr>
      </w:pPr>
      <w:r>
        <w:rPr>
          <w:b/>
          <w:bCs/>
          <w:lang w:val="en-US"/>
        </w:rPr>
        <w:t>Name of course</w:t>
      </w:r>
      <w:r w:rsidRPr="008C0A86">
        <w:rPr>
          <w:lang w:val="en-US"/>
        </w:rPr>
        <w:t>: Radiation effects in electronic systems and components</w:t>
      </w:r>
    </w:p>
    <w:p w14:paraId="26B0B252" w14:textId="729FE323" w:rsidR="008C0A86" w:rsidRDefault="008C0A86">
      <w:pPr>
        <w:rPr>
          <w:lang w:val="en-US"/>
        </w:rPr>
      </w:pPr>
    </w:p>
    <w:p w14:paraId="7AD99A57" w14:textId="50B6A508" w:rsidR="008C0A86" w:rsidRPr="008C0A86" w:rsidRDefault="008C0A86">
      <w:r>
        <w:rPr>
          <w:b/>
          <w:bCs/>
        </w:rPr>
        <w:t>Course responsible</w:t>
      </w:r>
      <w:r w:rsidRPr="008C0A86">
        <w:t>: Ketil Røed</w:t>
      </w:r>
    </w:p>
    <w:p w14:paraId="326A7953" w14:textId="77777777" w:rsidR="008C0A86" w:rsidRDefault="008C0A86"/>
    <w:p w14:paraId="3FC27896" w14:textId="53376F2D" w:rsidR="008C0A86" w:rsidRPr="008C0A86" w:rsidRDefault="008C0A86">
      <w:r>
        <w:rPr>
          <w:b/>
          <w:bCs/>
        </w:rPr>
        <w:t>Credits</w:t>
      </w:r>
      <w:r w:rsidRPr="008C0A86">
        <w:t>: 10 ECTS</w:t>
      </w:r>
    </w:p>
    <w:p w14:paraId="04AFF79C" w14:textId="77777777" w:rsidR="008C0A86" w:rsidRDefault="008C0A86"/>
    <w:p w14:paraId="5E7D2368" w14:textId="0D4300C9" w:rsidR="008C0A86" w:rsidRPr="002027BB" w:rsidRDefault="008C0A86">
      <w:pPr>
        <w:rPr>
          <w:lang w:val="en-US"/>
        </w:rPr>
      </w:pPr>
      <w:r w:rsidRPr="00E44608">
        <w:rPr>
          <w:b/>
          <w:bCs/>
          <w:lang w:val="en-US"/>
        </w:rPr>
        <w:t>Teaching:</w:t>
      </w:r>
      <w:r w:rsidRPr="002027BB">
        <w:rPr>
          <w:lang w:val="en-US"/>
        </w:rPr>
        <w:t xml:space="preserve"> </w:t>
      </w:r>
      <w:r w:rsidR="00E44608">
        <w:rPr>
          <w:lang w:val="en-US"/>
        </w:rPr>
        <w:t xml:space="preserve">Special curriculum / self-study.  A one-hour colloquium every other week may be considered if more than one student is following the course. </w:t>
      </w:r>
    </w:p>
    <w:p w14:paraId="7A3D4C86" w14:textId="4858FE58" w:rsidR="008C0A86" w:rsidRDefault="008C0A86">
      <w:pPr>
        <w:rPr>
          <w:lang w:val="en-US"/>
        </w:rPr>
      </w:pPr>
    </w:p>
    <w:p w14:paraId="1922585A" w14:textId="02AC1B93" w:rsidR="00E44608" w:rsidRPr="002027BB" w:rsidRDefault="00E44608">
      <w:pPr>
        <w:rPr>
          <w:lang w:val="en-US"/>
        </w:rPr>
      </w:pPr>
      <w:r w:rsidRPr="00E44608">
        <w:rPr>
          <w:b/>
          <w:bCs/>
          <w:lang w:val="en-US"/>
        </w:rPr>
        <w:t>Semester</w:t>
      </w:r>
      <w:r>
        <w:rPr>
          <w:lang w:val="en-US"/>
        </w:rPr>
        <w:t>: Autumn and spring</w:t>
      </w:r>
    </w:p>
    <w:p w14:paraId="4DBE0767" w14:textId="77777777" w:rsidR="008C0A86" w:rsidRPr="002027BB" w:rsidRDefault="008C0A86">
      <w:pPr>
        <w:rPr>
          <w:lang w:val="en-US"/>
        </w:rPr>
      </w:pPr>
    </w:p>
    <w:p w14:paraId="0BE27760" w14:textId="5E28D5C7" w:rsidR="008C0A86" w:rsidRPr="002027BB" w:rsidRDefault="002027BB">
      <w:pPr>
        <w:rPr>
          <w:b/>
          <w:bCs/>
          <w:lang w:val="en-US"/>
        </w:rPr>
      </w:pPr>
      <w:r w:rsidRPr="002027BB">
        <w:rPr>
          <w:b/>
          <w:bCs/>
          <w:lang w:val="en-US"/>
        </w:rPr>
        <w:t>Course content</w:t>
      </w:r>
    </w:p>
    <w:p w14:paraId="2CB1CDE8" w14:textId="6F771620" w:rsidR="008C0A86" w:rsidRPr="008C0A86" w:rsidRDefault="008C0A86">
      <w:pPr>
        <w:rPr>
          <w:lang w:val="en-US"/>
        </w:rPr>
      </w:pPr>
      <w:r w:rsidRPr="008C0A86">
        <w:rPr>
          <w:lang w:val="en-US"/>
        </w:rPr>
        <w:t xml:space="preserve">This course </w:t>
      </w:r>
      <w:r w:rsidR="00E44608">
        <w:rPr>
          <w:lang w:val="en-US"/>
        </w:rPr>
        <w:t>focuses on</w:t>
      </w:r>
      <w:r w:rsidR="002027BB">
        <w:rPr>
          <w:lang w:val="en-US"/>
        </w:rPr>
        <w:t xml:space="preserve"> </w:t>
      </w:r>
      <w:r>
        <w:rPr>
          <w:lang w:val="en-US"/>
        </w:rPr>
        <w:t>radiation effects in electronic systems and components</w:t>
      </w:r>
      <w:r w:rsidR="00E44608">
        <w:rPr>
          <w:lang w:val="en-US"/>
        </w:rPr>
        <w:t>.</w:t>
      </w:r>
      <w:r w:rsidR="002027BB">
        <w:rPr>
          <w:lang w:val="en-US"/>
        </w:rPr>
        <w:t xml:space="preserve"> An introduction to radiation and how radiation interacts with matter is covered to provide a good background for understanding radiation effects in electronics. The course also gives and overview of radiation environments relevant for electronic systems in space and high energy physics applications</w:t>
      </w:r>
      <w:r w:rsidR="00E44608">
        <w:rPr>
          <w:lang w:val="en-US"/>
        </w:rPr>
        <w:t xml:space="preserve">. </w:t>
      </w:r>
    </w:p>
    <w:p w14:paraId="286C12E2" w14:textId="551D349A" w:rsidR="008C0A86" w:rsidRPr="008C0A86" w:rsidRDefault="008C0A86">
      <w:pPr>
        <w:rPr>
          <w:lang w:val="en-US"/>
        </w:rPr>
      </w:pPr>
    </w:p>
    <w:p w14:paraId="5C77E33E" w14:textId="7E559F8E" w:rsidR="008C0A86" w:rsidRPr="008C0A86" w:rsidRDefault="008C0A86">
      <w:pPr>
        <w:rPr>
          <w:lang w:val="en-US"/>
        </w:rPr>
      </w:pPr>
    </w:p>
    <w:p w14:paraId="6E4956F5" w14:textId="77777777" w:rsidR="00A801EC" w:rsidRDefault="00A801EC">
      <w:pPr>
        <w:rPr>
          <w:b/>
          <w:bCs/>
          <w:lang w:val="en-US"/>
        </w:rPr>
      </w:pPr>
    </w:p>
    <w:p w14:paraId="35D70937" w14:textId="3654CD00" w:rsidR="008C0A86" w:rsidRPr="008C0A86" w:rsidRDefault="00E44608">
      <w:pPr>
        <w:rPr>
          <w:b/>
          <w:bCs/>
          <w:lang w:val="en-US"/>
        </w:rPr>
      </w:pPr>
      <w:r>
        <w:rPr>
          <w:b/>
          <w:bCs/>
          <w:lang w:val="en-US"/>
        </w:rPr>
        <w:t>Learning outcome:</w:t>
      </w:r>
    </w:p>
    <w:p w14:paraId="336CC75A" w14:textId="1EBA5B6D" w:rsidR="008C0A86" w:rsidRDefault="008C0A86">
      <w:pPr>
        <w:rPr>
          <w:lang w:val="en-US"/>
        </w:rPr>
      </w:pPr>
    </w:p>
    <w:p w14:paraId="6E5231C5" w14:textId="38623927" w:rsidR="00263A68" w:rsidRDefault="00263A68">
      <w:pPr>
        <w:rPr>
          <w:lang w:val="en-US"/>
        </w:rPr>
      </w:pPr>
      <w:r>
        <w:rPr>
          <w:lang w:val="en-US"/>
        </w:rPr>
        <w:t>After completing the course:</w:t>
      </w:r>
    </w:p>
    <w:p w14:paraId="2B376B6E" w14:textId="77777777" w:rsidR="00263A68" w:rsidRDefault="00263A68">
      <w:pPr>
        <w:rPr>
          <w:lang w:val="en-US"/>
        </w:rPr>
      </w:pPr>
    </w:p>
    <w:p w14:paraId="54F2ED5A" w14:textId="56F30F1A" w:rsidR="008C0A86" w:rsidRDefault="00263A68" w:rsidP="00263A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have a basic knowledge about how radiation interacts with matter</w:t>
      </w:r>
      <w:r w:rsidR="00370196">
        <w:rPr>
          <w:lang w:val="en-US"/>
        </w:rPr>
        <w:t xml:space="preserve"> and how these interactions my affect electronic components</w:t>
      </w:r>
    </w:p>
    <w:p w14:paraId="41BB179A" w14:textId="2432C7B0" w:rsidR="00263A68" w:rsidRDefault="00263A68" w:rsidP="00263A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have basic knowledge about and can describe the main differences between various radiation environments in the context of radiation effects in electronic components.</w:t>
      </w:r>
    </w:p>
    <w:p w14:paraId="7DADF3D7" w14:textId="48744941" w:rsidR="002027BB" w:rsidRDefault="00263A68" w:rsidP="002027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have a good understanding of the most common radiation effects in </w:t>
      </w:r>
      <w:r w:rsidR="00717DA5">
        <w:rPr>
          <w:lang w:val="en-US"/>
        </w:rPr>
        <w:t>electronic components (single event effects, total ionizing dose, displacement damage)</w:t>
      </w:r>
      <w:r w:rsidR="002027BB">
        <w:rPr>
          <w:lang w:val="en-US"/>
        </w:rPr>
        <w:t>, and when an in which environment these effects are relevant to consider</w:t>
      </w:r>
    </w:p>
    <w:p w14:paraId="302B2179" w14:textId="167B8038" w:rsidR="002027BB" w:rsidRDefault="002027BB" w:rsidP="002027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have knowledge about test methods used to characterize the radiation sensitivity and tolerance of electronic systems and components</w:t>
      </w:r>
    </w:p>
    <w:p w14:paraId="1E7803A9" w14:textId="51C74011" w:rsidR="002027BB" w:rsidRDefault="002027BB" w:rsidP="002027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have knowledge about the most common techniques applied to mitigate the effects of radiation in electronics systems and components</w:t>
      </w:r>
    </w:p>
    <w:p w14:paraId="34DFAA89" w14:textId="039E1347" w:rsidR="00E44608" w:rsidRDefault="00E44608" w:rsidP="00E44608">
      <w:pPr>
        <w:rPr>
          <w:lang w:val="en-US"/>
        </w:rPr>
      </w:pPr>
    </w:p>
    <w:p w14:paraId="40386A07" w14:textId="77777777" w:rsidR="00A801EC" w:rsidRDefault="00A801EC" w:rsidP="00E44608">
      <w:pPr>
        <w:rPr>
          <w:b/>
          <w:bCs/>
          <w:lang w:val="en-US"/>
        </w:rPr>
      </w:pPr>
    </w:p>
    <w:p w14:paraId="41AD7456" w14:textId="77777777" w:rsidR="00A801EC" w:rsidRDefault="00A801EC" w:rsidP="00E44608">
      <w:pPr>
        <w:rPr>
          <w:b/>
          <w:bCs/>
          <w:lang w:val="en-US"/>
        </w:rPr>
      </w:pPr>
    </w:p>
    <w:p w14:paraId="62564589" w14:textId="7651F83F" w:rsidR="00E44608" w:rsidRPr="00E44608" w:rsidRDefault="00E44608" w:rsidP="00E44608">
      <w:pPr>
        <w:rPr>
          <w:b/>
          <w:bCs/>
          <w:lang w:val="en-US"/>
        </w:rPr>
      </w:pPr>
      <w:r w:rsidRPr="00E44608">
        <w:rPr>
          <w:b/>
          <w:bCs/>
          <w:lang w:val="en-US"/>
        </w:rPr>
        <w:t>Recommended previous knowledge</w:t>
      </w:r>
    </w:p>
    <w:p w14:paraId="38087C6E" w14:textId="041CCE31" w:rsidR="00E44608" w:rsidRDefault="00E44608" w:rsidP="00E44608">
      <w:pPr>
        <w:rPr>
          <w:lang w:val="en-US"/>
        </w:rPr>
      </w:pPr>
    </w:p>
    <w:p w14:paraId="14031A07" w14:textId="6168754E" w:rsidR="00E44608" w:rsidRDefault="00E44608" w:rsidP="00E44608">
      <w:pPr>
        <w:rPr>
          <w:lang w:val="en-US"/>
        </w:rPr>
      </w:pPr>
      <w:r>
        <w:rPr>
          <w:lang w:val="en-US"/>
        </w:rPr>
        <w:t xml:space="preserve">A basic understanding of semiconductor </w:t>
      </w:r>
      <w:r w:rsidR="00291772">
        <w:rPr>
          <w:lang w:val="en-US"/>
        </w:rPr>
        <w:t>devices and integrated circuits.</w:t>
      </w:r>
    </w:p>
    <w:p w14:paraId="402CEED4" w14:textId="77777777" w:rsidR="00E44608" w:rsidRDefault="00E44608" w:rsidP="00E44608">
      <w:pPr>
        <w:rPr>
          <w:lang w:val="en-US"/>
        </w:rPr>
      </w:pPr>
    </w:p>
    <w:p w14:paraId="2A126FAB" w14:textId="77777777" w:rsidR="00A801EC" w:rsidRDefault="00A801EC" w:rsidP="00E44608">
      <w:pPr>
        <w:rPr>
          <w:b/>
          <w:bCs/>
          <w:lang w:val="en-US"/>
        </w:rPr>
      </w:pPr>
    </w:p>
    <w:p w14:paraId="21EFDDAA" w14:textId="77777777" w:rsidR="00A801EC" w:rsidRDefault="00A801EC" w:rsidP="00E44608">
      <w:pPr>
        <w:rPr>
          <w:b/>
          <w:bCs/>
          <w:lang w:val="en-US"/>
        </w:rPr>
      </w:pPr>
    </w:p>
    <w:p w14:paraId="43C04F35" w14:textId="77777777" w:rsidR="00A801EC" w:rsidRDefault="00A801EC" w:rsidP="00E44608">
      <w:pPr>
        <w:rPr>
          <w:b/>
          <w:bCs/>
          <w:lang w:val="en-US"/>
        </w:rPr>
      </w:pPr>
    </w:p>
    <w:p w14:paraId="2436BA39" w14:textId="77777777" w:rsidR="00A801EC" w:rsidRDefault="00A801EC" w:rsidP="00E44608">
      <w:pPr>
        <w:rPr>
          <w:b/>
          <w:bCs/>
          <w:lang w:val="en-US"/>
        </w:rPr>
      </w:pPr>
    </w:p>
    <w:p w14:paraId="3629A2A9" w14:textId="77777777" w:rsidR="00A801EC" w:rsidRDefault="00A801EC" w:rsidP="00E44608">
      <w:pPr>
        <w:rPr>
          <w:b/>
          <w:bCs/>
          <w:lang w:val="en-US"/>
        </w:rPr>
      </w:pPr>
    </w:p>
    <w:p w14:paraId="5AFEF84D" w14:textId="6292D607" w:rsidR="002027BB" w:rsidRDefault="00A21C7F" w:rsidP="00E44608">
      <w:pPr>
        <w:rPr>
          <w:b/>
          <w:bCs/>
          <w:lang w:val="en-US"/>
        </w:rPr>
      </w:pPr>
      <w:r>
        <w:rPr>
          <w:b/>
          <w:bCs/>
          <w:lang w:val="en-US"/>
        </w:rPr>
        <w:t>Suggested t</w:t>
      </w:r>
      <w:r w:rsidR="00E44608" w:rsidRPr="00E44608">
        <w:rPr>
          <w:b/>
          <w:bCs/>
          <w:lang w:val="en-US"/>
        </w:rPr>
        <w:t>eaching material / curriculum</w:t>
      </w:r>
    </w:p>
    <w:p w14:paraId="7BB605D1" w14:textId="110A144C" w:rsidR="00E44608" w:rsidRDefault="00E44608" w:rsidP="00E44608">
      <w:pPr>
        <w:rPr>
          <w:b/>
          <w:bCs/>
          <w:lang w:val="en-US"/>
        </w:rPr>
      </w:pPr>
    </w:p>
    <w:p w14:paraId="4AB95457" w14:textId="4875F74C" w:rsidR="00E44608" w:rsidRDefault="00291772" w:rsidP="00E44608">
      <w:pPr>
        <w:rPr>
          <w:lang w:val="en-US"/>
        </w:rPr>
      </w:pPr>
      <w:r>
        <w:rPr>
          <w:lang w:val="en-US"/>
        </w:rPr>
        <w:t>A combination of tex</w:t>
      </w:r>
      <w:r w:rsidR="00A21C7F">
        <w:rPr>
          <w:lang w:val="en-US"/>
        </w:rPr>
        <w:t>t</w:t>
      </w:r>
      <w:r>
        <w:rPr>
          <w:lang w:val="en-US"/>
        </w:rPr>
        <w:t>book material</w:t>
      </w:r>
      <w:r w:rsidR="00A801EC">
        <w:rPr>
          <w:lang w:val="en-US"/>
        </w:rPr>
        <w:t>, magazine articles,</w:t>
      </w:r>
      <w:r>
        <w:rPr>
          <w:lang w:val="en-US"/>
        </w:rPr>
        <w:t xml:space="preserve"> and </w:t>
      </w:r>
      <w:r w:rsidR="00A21C7F">
        <w:rPr>
          <w:lang w:val="en-US"/>
        </w:rPr>
        <w:t xml:space="preserve">various </w:t>
      </w:r>
      <w:r>
        <w:rPr>
          <w:lang w:val="en-US"/>
        </w:rPr>
        <w:t xml:space="preserve">scientific papers. </w:t>
      </w:r>
    </w:p>
    <w:p w14:paraId="6FD865BE" w14:textId="6E772F23" w:rsidR="00291772" w:rsidRDefault="00291772" w:rsidP="00E44608">
      <w:pPr>
        <w:rPr>
          <w:lang w:val="en-US"/>
        </w:rPr>
      </w:pPr>
    </w:p>
    <w:p w14:paraId="6ADB9C4E" w14:textId="19808B2F" w:rsidR="008A21BC" w:rsidRDefault="00291772" w:rsidP="00E44608">
      <w:pPr>
        <w:rPr>
          <w:lang w:val="en-US"/>
        </w:rPr>
      </w:pPr>
      <w:r>
        <w:rPr>
          <w:lang w:val="en-US"/>
        </w:rPr>
        <w:t>Textbook</w:t>
      </w:r>
      <w:r w:rsidR="0081266B">
        <w:rPr>
          <w:lang w:val="en-US"/>
        </w:rPr>
        <w:t>s</w:t>
      </w:r>
      <w:r w:rsidR="00886737">
        <w:rPr>
          <w:lang w:val="en-US"/>
        </w:rPr>
        <w:t xml:space="preserve"> (approx.. 224 pages)</w:t>
      </w:r>
      <w:r>
        <w:rPr>
          <w:lang w:val="en-US"/>
        </w:rPr>
        <w:t xml:space="preserve">: </w:t>
      </w:r>
      <w:r w:rsidR="00886737">
        <w:rPr>
          <w:lang w:val="en-US"/>
        </w:rPr>
        <w:t xml:space="preserve"> </w:t>
      </w:r>
    </w:p>
    <w:p w14:paraId="06F8CCBB" w14:textId="77777777" w:rsidR="008A21BC" w:rsidRDefault="008A21BC" w:rsidP="00E44608">
      <w:pPr>
        <w:rPr>
          <w:lang w:val="en-US"/>
        </w:rPr>
      </w:pPr>
    </w:p>
    <w:p w14:paraId="0FF3A07A" w14:textId="06084983" w:rsidR="00291772" w:rsidRDefault="00291772" w:rsidP="00E44608">
      <w:pPr>
        <w:rPr>
          <w:lang w:val="en-US"/>
        </w:rPr>
      </w:pPr>
      <w:r>
        <w:rPr>
          <w:lang w:val="en-US"/>
        </w:rPr>
        <w:t xml:space="preserve">Robert Baumann and Kirby Kruckmeyer. Radiation handbook for electronics. A compendium of radiation effects topics for space, industrial and terrestrial applications. Texas Instruments, 2019. </w:t>
      </w:r>
      <w:r w:rsidR="008A21BC">
        <w:rPr>
          <w:lang w:val="en-US"/>
        </w:rPr>
        <w:t xml:space="preserve">Chapters 1 – 10 (approx. 110 pages). Available from </w:t>
      </w:r>
      <w:hyperlink r:id="rId5" w:history="1">
        <w:r w:rsidR="008A21BC" w:rsidRPr="008A21BC">
          <w:rPr>
            <w:rStyle w:val="Hyperlink"/>
            <w:lang w:val="en-US"/>
          </w:rPr>
          <w:t>www.ti.com/radbook</w:t>
        </w:r>
      </w:hyperlink>
      <w:r w:rsidR="008A21BC">
        <w:rPr>
          <w:lang w:val="en-US"/>
        </w:rPr>
        <w:t>.</w:t>
      </w:r>
    </w:p>
    <w:p w14:paraId="37C94FC0" w14:textId="2ABD9FB1" w:rsidR="008A21BC" w:rsidRDefault="008A21BC" w:rsidP="00E44608">
      <w:pPr>
        <w:rPr>
          <w:lang w:val="en-US"/>
        </w:rPr>
      </w:pPr>
    </w:p>
    <w:p w14:paraId="3AC4E74F" w14:textId="0E99ECAB" w:rsidR="00A21C7F" w:rsidRPr="00A801EC" w:rsidRDefault="00A21C7F" w:rsidP="00A21C7F">
      <w:pPr>
        <w:rPr>
          <w:rFonts w:asciiTheme="minorHAnsi" w:hAnsiTheme="minorHAnsi" w:cstheme="minorHAnsi"/>
          <w:lang w:val="en-US"/>
        </w:rPr>
      </w:pPr>
      <w:r w:rsidRPr="00A21C7F">
        <w:rPr>
          <w:rStyle w:val="Strong"/>
          <w:rFonts w:asciiTheme="minorHAnsi" w:hAnsiTheme="minorHAnsi" w:cstheme="minorHAnsi"/>
          <w:b w:val="0"/>
          <w:bCs w:val="0"/>
          <w:color w:val="24292E"/>
          <w:lang w:val="en-US"/>
        </w:rPr>
        <w:t xml:space="preserve">G. F. Knoll, Radiation detection and measurement. Third or fourth edition. Whiley 2010. </w:t>
      </w:r>
      <w:r w:rsidRPr="00A801EC">
        <w:rPr>
          <w:rStyle w:val="Strong"/>
          <w:rFonts w:asciiTheme="minorHAnsi" w:hAnsiTheme="minorHAnsi" w:cstheme="minorHAnsi"/>
          <w:b w:val="0"/>
          <w:bCs w:val="0"/>
          <w:color w:val="24292E"/>
          <w:lang w:val="en-US"/>
        </w:rPr>
        <w:t>(64 pages).</w:t>
      </w:r>
      <w:r w:rsidRPr="00A801EC">
        <w:rPr>
          <w:rStyle w:val="apple-converted-space"/>
          <w:rFonts w:asciiTheme="minorHAnsi" w:hAnsiTheme="minorHAnsi" w:cstheme="minorHAnsi"/>
          <w:b/>
          <w:bCs/>
          <w:color w:val="24292E"/>
          <w:shd w:val="clear" w:color="auto" w:fill="FFFFFF"/>
          <w:lang w:val="en-US"/>
        </w:rPr>
        <w:t> </w:t>
      </w:r>
      <w:r w:rsidRPr="00A801EC">
        <w:rPr>
          <w:rFonts w:asciiTheme="minorHAnsi" w:hAnsiTheme="minorHAnsi" w:cstheme="minorHAnsi"/>
          <w:color w:val="24292E"/>
          <w:shd w:val="clear" w:color="auto" w:fill="FFFFFF"/>
          <w:lang w:val="en-US"/>
        </w:rPr>
        <w:t>Chapter 1: Radiation sources p. 1-28 Chapter 2: Radiation interactions p. 29-64</w:t>
      </w:r>
    </w:p>
    <w:p w14:paraId="47A42443" w14:textId="2EEA86C9" w:rsidR="00A21C7F" w:rsidRPr="00A21C7F" w:rsidRDefault="00A21C7F" w:rsidP="00E44608">
      <w:pPr>
        <w:rPr>
          <w:rFonts w:asciiTheme="minorHAnsi" w:hAnsiTheme="minorHAnsi" w:cstheme="minorHAnsi"/>
          <w:lang w:val="en-US"/>
        </w:rPr>
      </w:pPr>
    </w:p>
    <w:p w14:paraId="72A2FE3D" w14:textId="17A95EE9" w:rsidR="00A801EC" w:rsidRPr="00A801EC" w:rsidRDefault="00C3252D" w:rsidP="00A801EC">
      <w:pPr>
        <w:rPr>
          <w:rFonts w:asciiTheme="minorHAnsi" w:hAnsiTheme="minorHAnsi" w:cstheme="minorHAnsi"/>
          <w:color w:val="333333"/>
          <w:spacing w:val="4"/>
          <w:shd w:val="clear" w:color="auto" w:fill="FCFCFC"/>
          <w:lang w:val="en-US"/>
        </w:rPr>
      </w:pPr>
      <w:r>
        <w:rPr>
          <w:lang w:val="en-US"/>
        </w:rPr>
        <w:t xml:space="preserve">Michael Nicolaidi. Soft errors in modern electronic system. Frontiers in Electronic Testing, vol. 41. Springer Boston, 2011. Available </w:t>
      </w:r>
      <w:r w:rsidRPr="00A801EC">
        <w:rPr>
          <w:rFonts w:asciiTheme="minorHAnsi" w:hAnsiTheme="minorHAnsi" w:cstheme="minorHAnsi"/>
          <w:lang w:val="en-US"/>
        </w:rPr>
        <w:t xml:space="preserve">from </w:t>
      </w:r>
      <w:hyperlink r:id="rId6" w:history="1">
        <w:r w:rsidR="00A801EC" w:rsidRPr="00A801EC">
          <w:rPr>
            <w:rStyle w:val="Hyperlink"/>
            <w:rFonts w:asciiTheme="minorHAnsi" w:hAnsiTheme="minorHAnsi" w:cstheme="minorHAnsi"/>
            <w:spacing w:val="4"/>
            <w:shd w:val="clear" w:color="auto" w:fill="FCFCFC"/>
            <w:lang w:val="en-US"/>
          </w:rPr>
          <w:t>https://doi.org/10.1007/978-1-4419-6993-4</w:t>
        </w:r>
      </w:hyperlink>
    </w:p>
    <w:p w14:paraId="1436C024" w14:textId="13BB5205" w:rsidR="00C3252D" w:rsidRDefault="00C3252D" w:rsidP="00E44608">
      <w:pPr>
        <w:rPr>
          <w:lang w:val="en-US"/>
        </w:rPr>
      </w:pPr>
      <w:r>
        <w:rPr>
          <w:lang w:val="en-US"/>
        </w:rPr>
        <w:t>Chapter 1: T. Heijmen. Soft errors from space to ground: historical overview, empirical evidence, and future trends. (24 pages).</w:t>
      </w:r>
    </w:p>
    <w:p w14:paraId="435FFFAF" w14:textId="3C2D5600" w:rsidR="00C3252D" w:rsidRDefault="00C3252D" w:rsidP="00E44608">
      <w:pPr>
        <w:rPr>
          <w:lang w:val="en-US"/>
        </w:rPr>
      </w:pPr>
      <w:r>
        <w:rPr>
          <w:lang w:val="en-US"/>
        </w:rPr>
        <w:t>Chapter 2: R. Gaillard. Single event effects: mechanism and classification (26 pages).</w:t>
      </w:r>
    </w:p>
    <w:p w14:paraId="471267DF" w14:textId="2827BD31" w:rsidR="008A21BC" w:rsidRDefault="008A21BC" w:rsidP="00E44608">
      <w:pPr>
        <w:rPr>
          <w:lang w:val="en-US"/>
        </w:rPr>
      </w:pPr>
    </w:p>
    <w:p w14:paraId="1791B8DA" w14:textId="2A3B262E" w:rsidR="008A21BC" w:rsidRDefault="00A801EC" w:rsidP="00E44608">
      <w:pPr>
        <w:rPr>
          <w:lang w:val="en-US"/>
        </w:rPr>
      </w:pPr>
      <w:r>
        <w:rPr>
          <w:lang w:val="en-US"/>
        </w:rPr>
        <w:t>Magazine articles</w:t>
      </w:r>
      <w:r w:rsidR="00EB0EEB">
        <w:rPr>
          <w:lang w:val="en-US"/>
        </w:rPr>
        <w:t xml:space="preserve"> (</w:t>
      </w:r>
      <w:r w:rsidR="00886737">
        <w:rPr>
          <w:lang w:val="en-US"/>
        </w:rPr>
        <w:t>approx. 15 pages)</w:t>
      </w:r>
      <w:r w:rsidR="008A21BC">
        <w:rPr>
          <w:lang w:val="en-US"/>
        </w:rPr>
        <w:t>:</w:t>
      </w:r>
    </w:p>
    <w:p w14:paraId="3F73B79A" w14:textId="324904A9" w:rsidR="008A21BC" w:rsidRDefault="008A21BC" w:rsidP="00E44608">
      <w:pPr>
        <w:rPr>
          <w:rFonts w:cstheme="minorHAnsi"/>
          <w:lang w:val="en-US"/>
        </w:rPr>
      </w:pPr>
    </w:p>
    <w:p w14:paraId="26FDC627" w14:textId="659ECD57" w:rsidR="00C3252D" w:rsidRPr="00C3252D" w:rsidRDefault="00C3252D" w:rsidP="00C3252D">
      <w:pPr>
        <w:rPr>
          <w:rFonts w:asciiTheme="minorHAnsi" w:hAnsiTheme="minorHAnsi" w:cstheme="minorHAnsi"/>
          <w:lang w:val="en-US"/>
        </w:rPr>
      </w:pPr>
      <w:r w:rsidRPr="00C3252D">
        <w:rPr>
          <w:rFonts w:asciiTheme="minorHAnsi" w:hAnsiTheme="minorHAnsi" w:cstheme="minorHAnsi"/>
          <w:lang w:val="en-US"/>
        </w:rPr>
        <w:t>J. Mazur, An overview of the space radiation environment. Crosslink Vol. 4, No. 4, 2003 (5 pages).</w:t>
      </w:r>
      <w:r w:rsidRPr="00C3252D">
        <w:rPr>
          <w:rFonts w:cstheme="minorHAnsi"/>
          <w:color w:val="24292E"/>
          <w:shd w:val="clear" w:color="auto" w:fill="FFFFFF"/>
          <w:lang w:val="en-US"/>
        </w:rPr>
        <w:t xml:space="preserve"> </w:t>
      </w:r>
      <w:r w:rsidRPr="00C3252D">
        <w:rPr>
          <w:rFonts w:asciiTheme="minorHAnsi" w:hAnsiTheme="minorHAnsi" w:cstheme="minorHAnsi"/>
          <w:color w:val="24292E"/>
          <w:shd w:val="clear" w:color="auto" w:fill="FFFFFF"/>
          <w:lang w:val="en-US"/>
        </w:rPr>
        <w:t>Available:</w:t>
      </w:r>
      <w:r w:rsidRPr="00C3252D">
        <w:rPr>
          <w:rStyle w:val="apple-converted-space"/>
          <w:rFonts w:asciiTheme="minorHAnsi" w:hAnsiTheme="minorHAnsi" w:cstheme="minorHAnsi"/>
          <w:color w:val="24292E"/>
          <w:shd w:val="clear" w:color="auto" w:fill="FFFFFF"/>
          <w:lang w:val="en-US"/>
        </w:rPr>
        <w:t> </w:t>
      </w:r>
      <w:hyperlink r:id="rId7" w:history="1">
        <w:r w:rsidRPr="00C3252D">
          <w:rPr>
            <w:rStyle w:val="Hyperlink"/>
            <w:rFonts w:asciiTheme="minorHAnsi" w:hAnsiTheme="minorHAnsi" w:cstheme="minorHAnsi"/>
            <w:color w:val="0366D6"/>
            <w:lang w:val="en-US"/>
          </w:rPr>
          <w:t>http://aerospace.wpengine.netdna-cdn.com/wp-content/uploads/crosslink/CrosslinkV4N2.pdf</w:t>
        </w:r>
      </w:hyperlink>
    </w:p>
    <w:p w14:paraId="33EDF0E3" w14:textId="77777777" w:rsidR="00C3252D" w:rsidRPr="00C3252D" w:rsidRDefault="00C3252D" w:rsidP="00C3252D">
      <w:pPr>
        <w:rPr>
          <w:rFonts w:asciiTheme="minorHAnsi" w:hAnsiTheme="minorHAnsi" w:cstheme="minorHAnsi"/>
          <w:color w:val="24292E"/>
          <w:shd w:val="clear" w:color="auto" w:fill="FFFFFF"/>
          <w:lang w:val="en-US"/>
        </w:rPr>
      </w:pPr>
    </w:p>
    <w:p w14:paraId="03906FA3" w14:textId="0CB3DEAF" w:rsidR="00C3252D" w:rsidRPr="00C3252D" w:rsidRDefault="00C3252D" w:rsidP="00C3252D">
      <w:pPr>
        <w:rPr>
          <w:rFonts w:asciiTheme="minorHAnsi" w:hAnsiTheme="minorHAnsi" w:cstheme="minorHAnsi"/>
          <w:lang w:val="en-US"/>
        </w:rPr>
      </w:pPr>
      <w:r w:rsidRPr="00C3252D">
        <w:rPr>
          <w:rFonts w:asciiTheme="minorHAnsi" w:hAnsiTheme="minorHAnsi" w:cstheme="minorHAnsi"/>
          <w:color w:val="24292E"/>
          <w:shd w:val="clear" w:color="auto" w:fill="FFFFFF"/>
          <w:lang w:val="en-US"/>
        </w:rPr>
        <w:t>J. Scarpulla and A. Yarbrough, What Could Go Wrong, The Effects of Ionizing radiation on Space Electronics. Crosslink Vol. 4, No. 4, 2003. (5 pages) Available:</w:t>
      </w:r>
      <w:r>
        <w:rPr>
          <w:rFonts w:cstheme="minorHAnsi"/>
          <w:color w:val="24292E"/>
          <w:shd w:val="clear" w:color="auto" w:fill="FFFFFF"/>
          <w:lang w:val="en-US"/>
        </w:rPr>
        <w:t xml:space="preserve"> </w:t>
      </w:r>
      <w:hyperlink r:id="rId8" w:history="1">
        <w:r w:rsidRPr="00D848A4">
          <w:rPr>
            <w:rStyle w:val="Hyperlink"/>
            <w:rFonts w:cstheme="minorHAnsi"/>
            <w:lang w:val="en-US"/>
          </w:rPr>
          <w:t>http://aerospace.wpengine.netdna-cdn.com/wp-content/uploads/crosslink/CrosslinkV4N2.pdf</w:t>
        </w:r>
      </w:hyperlink>
    </w:p>
    <w:p w14:paraId="3D1467CF" w14:textId="77777777" w:rsidR="00C3252D" w:rsidRPr="00C3252D" w:rsidRDefault="00C3252D" w:rsidP="00C3252D">
      <w:pPr>
        <w:rPr>
          <w:rFonts w:asciiTheme="minorHAnsi" w:hAnsiTheme="minorHAnsi" w:cstheme="minorHAnsi"/>
          <w:color w:val="24292E"/>
          <w:shd w:val="clear" w:color="auto" w:fill="FFFFFF"/>
          <w:lang w:val="en-US"/>
        </w:rPr>
      </w:pPr>
    </w:p>
    <w:p w14:paraId="408F6F2B" w14:textId="323BD984" w:rsidR="00C3252D" w:rsidRPr="00C3252D" w:rsidRDefault="00C3252D" w:rsidP="00C3252D">
      <w:pPr>
        <w:rPr>
          <w:rFonts w:asciiTheme="minorHAnsi" w:hAnsiTheme="minorHAnsi" w:cstheme="minorHAnsi"/>
          <w:lang w:val="en-US"/>
        </w:rPr>
      </w:pPr>
      <w:r w:rsidRPr="00C3252D">
        <w:rPr>
          <w:rFonts w:asciiTheme="minorHAnsi" w:hAnsiTheme="minorHAnsi" w:cstheme="minorHAnsi"/>
          <w:color w:val="24292E"/>
          <w:shd w:val="clear" w:color="auto" w:fill="FFFFFF"/>
          <w:lang w:val="en-US"/>
        </w:rPr>
        <w:t>S. Crain and R. Koga, Heavy-Ion Testing for Single-Event Effects, Crosslink Vol. 4, No. 4, 2003. (4 pages) Available:</w:t>
      </w:r>
      <w:r w:rsidRPr="00C3252D">
        <w:rPr>
          <w:rStyle w:val="apple-converted-space"/>
          <w:rFonts w:asciiTheme="minorHAnsi" w:hAnsiTheme="minorHAnsi" w:cstheme="minorHAnsi"/>
          <w:color w:val="24292E"/>
          <w:shd w:val="clear" w:color="auto" w:fill="FFFFFF"/>
          <w:lang w:val="en-US"/>
        </w:rPr>
        <w:t> </w:t>
      </w:r>
      <w:hyperlink r:id="rId9" w:history="1">
        <w:r w:rsidRPr="00C3252D">
          <w:rPr>
            <w:rStyle w:val="Hyperlink"/>
            <w:rFonts w:asciiTheme="minorHAnsi" w:hAnsiTheme="minorHAnsi" w:cstheme="minorHAnsi"/>
            <w:color w:val="0366D6"/>
            <w:lang w:val="en-US"/>
          </w:rPr>
          <w:t>http://aerospace.wpengine.netdna-cdn.com/wp-content/uploads/crosslink/CrosslinkV4N2.pdf</w:t>
        </w:r>
      </w:hyperlink>
    </w:p>
    <w:p w14:paraId="5A1F76E4" w14:textId="504EE71C" w:rsidR="00C3252D" w:rsidRDefault="00C3252D" w:rsidP="00E44608">
      <w:pPr>
        <w:rPr>
          <w:rFonts w:cstheme="minorHAnsi"/>
          <w:lang w:val="en-US"/>
        </w:rPr>
      </w:pPr>
    </w:p>
    <w:p w14:paraId="7E04FFED" w14:textId="26B0B98B" w:rsidR="00A801EC" w:rsidRDefault="00A801EC" w:rsidP="00E4460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Scientific papers</w:t>
      </w:r>
      <w:r w:rsidR="00886737">
        <w:rPr>
          <w:rFonts w:cstheme="minorHAnsi"/>
          <w:lang w:val="en-US"/>
        </w:rPr>
        <w:t xml:space="preserve"> (approx. 110 pages)</w:t>
      </w:r>
      <w:r>
        <w:rPr>
          <w:rFonts w:cstheme="minorHAnsi"/>
          <w:lang w:val="en-US"/>
        </w:rPr>
        <w:t>:</w:t>
      </w:r>
    </w:p>
    <w:p w14:paraId="10317059" w14:textId="164914FC" w:rsidR="00A801EC" w:rsidRDefault="00A801EC" w:rsidP="00E44608">
      <w:pPr>
        <w:rPr>
          <w:rFonts w:cstheme="minorHAnsi"/>
          <w:lang w:val="en-US"/>
        </w:rPr>
      </w:pPr>
    </w:p>
    <w:p w14:paraId="497C76B7" w14:textId="570CA2C1" w:rsidR="00886737" w:rsidRPr="00EB0EEB" w:rsidRDefault="00EB0EEB" w:rsidP="00E44608">
      <w:pPr>
        <w:rPr>
          <w:rFonts w:cstheme="minorHAnsi"/>
          <w:lang w:val="en-US"/>
        </w:rPr>
      </w:pPr>
      <w:r w:rsidRPr="00EB0EEB">
        <w:rPr>
          <w:rFonts w:cstheme="minorHAnsi"/>
          <w:lang w:val="en-US"/>
        </w:rPr>
        <w:t>E. L. Petersen et al., The s</w:t>
      </w:r>
      <w:r>
        <w:rPr>
          <w:rFonts w:cstheme="minorHAnsi"/>
          <w:lang w:val="en-US"/>
        </w:rPr>
        <w:t xml:space="preserve">ingle event revolution. Transactions on Nuclear Science, Volume 60, Issue 3, 2013. </w:t>
      </w:r>
      <w:hyperlink r:id="rId10" w:history="1">
        <w:r w:rsidR="00886737" w:rsidRPr="00D848A4">
          <w:rPr>
            <w:rStyle w:val="Hyperlink"/>
            <w:rFonts w:cstheme="minorHAnsi"/>
            <w:lang w:val="en-US"/>
          </w:rPr>
          <w:t>https://doi.org/10.1109/TNS.2013.2248065</w:t>
        </w:r>
      </w:hyperlink>
      <w:r w:rsidR="00886737">
        <w:rPr>
          <w:rFonts w:cstheme="minorHAnsi"/>
          <w:lang w:val="en-US"/>
        </w:rPr>
        <w:t xml:space="preserve"> (11 pages)</w:t>
      </w:r>
    </w:p>
    <w:p w14:paraId="71F8D728" w14:textId="77777777" w:rsidR="00EB0EEB" w:rsidRPr="00EB0EEB" w:rsidRDefault="00EB0EEB" w:rsidP="00E44608">
      <w:pPr>
        <w:rPr>
          <w:rFonts w:cstheme="minorHAnsi"/>
          <w:lang w:val="en-US"/>
        </w:rPr>
      </w:pPr>
    </w:p>
    <w:p w14:paraId="5D94F6E4" w14:textId="36D0751A" w:rsidR="00C3252D" w:rsidRPr="00C3252D" w:rsidRDefault="00C3252D" w:rsidP="00C3252D">
      <w:pPr>
        <w:rPr>
          <w:rFonts w:asciiTheme="minorHAnsi" w:hAnsiTheme="minorHAnsi" w:cstheme="minorHAnsi"/>
          <w:lang w:val="en-US"/>
        </w:rPr>
      </w:pPr>
      <w:r w:rsidRPr="00C3252D">
        <w:rPr>
          <w:rFonts w:asciiTheme="minorHAnsi" w:hAnsiTheme="minorHAnsi" w:cstheme="minorHAnsi"/>
          <w:color w:val="24292E"/>
          <w:shd w:val="clear" w:color="auto" w:fill="FFFFFF"/>
          <w:lang w:val="en-US"/>
        </w:rPr>
        <w:t>R. C. Baumann, Radiation-induced soft errors in advanced semiconductor technologies. IEEE Transaction on Nuclear Science, Vol. 5, No. 3, December 2005 (10 Pages). Available: </w:t>
      </w:r>
      <w:hyperlink r:id="rId11" w:history="1">
        <w:r w:rsidRPr="00C3252D">
          <w:rPr>
            <w:rFonts w:asciiTheme="minorHAnsi" w:hAnsiTheme="minorHAnsi" w:cstheme="minorHAnsi"/>
            <w:color w:val="0366D6"/>
            <w:u w:val="single"/>
            <w:lang w:val="en-US"/>
          </w:rPr>
          <w:t>http://ieeexplore.ieee.org/document/1545891/</w:t>
        </w:r>
      </w:hyperlink>
    </w:p>
    <w:p w14:paraId="5FB40005" w14:textId="77777777" w:rsidR="00C3252D" w:rsidRPr="000B164A" w:rsidRDefault="00C3252D" w:rsidP="00E44608">
      <w:pPr>
        <w:rPr>
          <w:rFonts w:asciiTheme="minorHAnsi" w:hAnsiTheme="minorHAnsi" w:cstheme="minorHAnsi"/>
          <w:lang w:val="en-US"/>
        </w:rPr>
      </w:pPr>
    </w:p>
    <w:p w14:paraId="5E2CB79C" w14:textId="77777777" w:rsidR="00B65364" w:rsidRPr="000B164A" w:rsidRDefault="00B65364" w:rsidP="00B65364">
      <w:pPr>
        <w:rPr>
          <w:rFonts w:asciiTheme="minorHAnsi" w:hAnsiTheme="minorHAnsi" w:cstheme="minorHAnsi"/>
          <w:lang w:val="en-US"/>
        </w:rPr>
      </w:pPr>
      <w:r w:rsidRPr="000B164A">
        <w:rPr>
          <w:rFonts w:asciiTheme="minorHAnsi" w:hAnsiTheme="minorHAnsi" w:cstheme="minorHAnsi"/>
          <w:color w:val="24292E"/>
          <w:shd w:val="clear" w:color="auto" w:fill="FFFFFF"/>
          <w:lang w:val="en-US"/>
        </w:rPr>
        <w:t>C. C. Foster, Total Ionizing Dose and Displacement Damage Effects in Mircoelectronics, MRS Bulletin February 2003. (5 Pages)</w:t>
      </w:r>
      <w:r w:rsidRPr="000B164A">
        <w:rPr>
          <w:rStyle w:val="apple-converted-space"/>
          <w:rFonts w:asciiTheme="minorHAnsi" w:hAnsiTheme="minorHAnsi" w:cstheme="minorHAnsi"/>
          <w:color w:val="24292E"/>
          <w:shd w:val="clear" w:color="auto" w:fill="FFFFFF"/>
          <w:lang w:val="en-US"/>
        </w:rPr>
        <w:t> </w:t>
      </w:r>
      <w:hyperlink r:id="rId12" w:history="1">
        <w:r w:rsidRPr="000B164A">
          <w:rPr>
            <w:rStyle w:val="Hyperlink"/>
            <w:rFonts w:asciiTheme="minorHAnsi" w:hAnsiTheme="minorHAnsi" w:cstheme="minorHAnsi"/>
            <w:color w:val="0366D6"/>
            <w:lang w:val="en-US"/>
          </w:rPr>
          <w:t>https://doi.org/10.1557/mrs2003.42</w:t>
        </w:r>
      </w:hyperlink>
    </w:p>
    <w:p w14:paraId="580BF720" w14:textId="77777777" w:rsidR="00C3252D" w:rsidRPr="000B164A" w:rsidRDefault="00C3252D" w:rsidP="00E44608">
      <w:pPr>
        <w:rPr>
          <w:rFonts w:asciiTheme="minorHAnsi" w:hAnsiTheme="minorHAnsi" w:cstheme="minorHAnsi"/>
          <w:lang w:val="en-US"/>
        </w:rPr>
      </w:pPr>
    </w:p>
    <w:p w14:paraId="7CFC51AA" w14:textId="77777777" w:rsidR="00B65364" w:rsidRPr="000B164A" w:rsidRDefault="00B65364" w:rsidP="00B65364">
      <w:pPr>
        <w:rPr>
          <w:rFonts w:asciiTheme="minorHAnsi" w:hAnsiTheme="minorHAnsi" w:cstheme="minorHAnsi"/>
          <w:lang w:val="en-US"/>
        </w:rPr>
      </w:pPr>
      <w:r w:rsidRPr="000B164A">
        <w:rPr>
          <w:rFonts w:asciiTheme="minorHAnsi" w:hAnsiTheme="minorHAnsi" w:cstheme="minorHAnsi"/>
          <w:color w:val="24292E"/>
          <w:shd w:val="clear" w:color="auto" w:fill="FFFFFF"/>
          <w:lang w:val="en-US"/>
        </w:rPr>
        <w:lastRenderedPageBreak/>
        <w:t>F. Faccio, COTS for the LHC radiation environment: the rules of the game, Proceedings of the 6th Workshop on Electronics for LHC Experiments, September 2000. (16 pages) Available:</w:t>
      </w:r>
      <w:r w:rsidRPr="000B164A">
        <w:rPr>
          <w:rStyle w:val="apple-converted-space"/>
          <w:rFonts w:asciiTheme="minorHAnsi" w:hAnsiTheme="minorHAnsi" w:cstheme="minorHAnsi"/>
          <w:color w:val="24292E"/>
          <w:shd w:val="clear" w:color="auto" w:fill="FFFFFF"/>
          <w:lang w:val="en-US"/>
        </w:rPr>
        <w:t> </w:t>
      </w:r>
      <w:hyperlink r:id="rId13" w:history="1">
        <w:r w:rsidRPr="000B164A">
          <w:rPr>
            <w:rStyle w:val="Hyperlink"/>
            <w:rFonts w:asciiTheme="minorHAnsi" w:hAnsiTheme="minorHAnsi" w:cstheme="minorHAnsi"/>
            <w:color w:val="0366D6"/>
            <w:lang w:val="en-US"/>
          </w:rPr>
          <w:t>https://cds.cern.ch/record/478245/files/p50.pdf</w:t>
        </w:r>
      </w:hyperlink>
    </w:p>
    <w:p w14:paraId="6AAC5306" w14:textId="1DA76944" w:rsidR="00B65364" w:rsidRPr="000B164A" w:rsidRDefault="00B65364" w:rsidP="00E44608">
      <w:pPr>
        <w:rPr>
          <w:rFonts w:asciiTheme="minorHAnsi" w:hAnsiTheme="minorHAnsi" w:cstheme="minorHAnsi"/>
        </w:rPr>
      </w:pPr>
    </w:p>
    <w:p w14:paraId="07E5DABB" w14:textId="6EB3487B" w:rsidR="00B65364" w:rsidRPr="000B164A" w:rsidRDefault="00B65364" w:rsidP="00B65364">
      <w:pPr>
        <w:rPr>
          <w:rFonts w:asciiTheme="minorHAnsi" w:hAnsiTheme="minorHAnsi" w:cstheme="minorHAnsi"/>
        </w:rPr>
      </w:pPr>
      <w:r w:rsidRPr="000B164A">
        <w:rPr>
          <w:rFonts w:asciiTheme="minorHAnsi" w:hAnsiTheme="minorHAnsi" w:cstheme="minorHAnsi"/>
          <w:lang w:val="en-US"/>
        </w:rPr>
        <w:t>Alía et al., Single event effects in high-ener</w:t>
      </w:r>
      <w:r w:rsidR="0081266B">
        <w:rPr>
          <w:rFonts w:asciiTheme="minorHAnsi" w:hAnsiTheme="minorHAnsi" w:cstheme="minorHAnsi"/>
          <w:lang w:val="en-US"/>
        </w:rPr>
        <w:t>g</w:t>
      </w:r>
      <w:r w:rsidRPr="000B164A">
        <w:rPr>
          <w:rFonts w:asciiTheme="minorHAnsi" w:hAnsiTheme="minorHAnsi" w:cstheme="minorHAnsi"/>
          <w:lang w:val="en-US"/>
        </w:rPr>
        <w:t xml:space="preserve">y accelerators. Semiconductor Science and Technology, Volume 32, Number 3, 2017. (10 pages) </w:t>
      </w:r>
      <w:hyperlink r:id="rId14" w:history="1">
        <w:r w:rsidRPr="000B164A">
          <w:rPr>
            <w:rStyle w:val="Hyperlink"/>
            <w:rFonts w:asciiTheme="minorHAnsi" w:hAnsiTheme="minorHAnsi" w:cstheme="minorHAnsi"/>
          </w:rPr>
          <w:t>https://doi.org/10.1088/1361-6641/aa5695</w:t>
        </w:r>
      </w:hyperlink>
    </w:p>
    <w:p w14:paraId="0F461053" w14:textId="6DC3606C" w:rsidR="000B164A" w:rsidRDefault="000B164A" w:rsidP="00B65364">
      <w:pPr>
        <w:rPr>
          <w:rFonts w:asciiTheme="minorHAnsi" w:hAnsiTheme="minorHAnsi" w:cstheme="minorHAnsi"/>
        </w:rPr>
      </w:pPr>
    </w:p>
    <w:p w14:paraId="2852B1A0" w14:textId="3AAEB661" w:rsidR="00EB0EEB" w:rsidRDefault="00EB0EEB" w:rsidP="00B6536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Schwank, Radiation hardness assurance testing of Microelectronic devices and integrated circuits: Test guideline for proton and heavy ion single event effects. Transactions on Nuclear Science, Volume 60, Issue 3, June 2013 </w:t>
      </w:r>
      <w:hyperlink r:id="rId15" w:history="1">
        <w:r w:rsidRPr="00D848A4">
          <w:rPr>
            <w:rStyle w:val="Hyperlink"/>
            <w:rFonts w:asciiTheme="minorHAnsi" w:hAnsiTheme="minorHAnsi" w:cstheme="minorHAnsi"/>
            <w:lang w:val="en-US"/>
          </w:rPr>
          <w:t>https://doi.org/10.1109/TNS.2013.2261317</w:t>
        </w:r>
      </w:hyperlink>
      <w:r>
        <w:rPr>
          <w:rFonts w:asciiTheme="minorHAnsi" w:hAnsiTheme="minorHAnsi" w:cstheme="minorHAnsi"/>
          <w:lang w:val="en-US"/>
        </w:rPr>
        <w:t xml:space="preserve"> (17 pages)</w:t>
      </w:r>
    </w:p>
    <w:p w14:paraId="0340EE63" w14:textId="77777777" w:rsidR="00EB0EEB" w:rsidRDefault="00EB0EEB" w:rsidP="00B65364">
      <w:pPr>
        <w:rPr>
          <w:rFonts w:asciiTheme="minorHAnsi" w:hAnsiTheme="minorHAnsi" w:cstheme="minorHAnsi"/>
          <w:lang w:val="en-US"/>
        </w:rPr>
      </w:pPr>
    </w:p>
    <w:p w14:paraId="1D675E2A" w14:textId="77777777" w:rsidR="00EB0EEB" w:rsidRDefault="00EB0EEB" w:rsidP="00B65364">
      <w:pPr>
        <w:rPr>
          <w:rFonts w:asciiTheme="minorHAnsi" w:hAnsiTheme="minorHAnsi" w:cstheme="minorHAnsi"/>
          <w:lang w:val="en-US"/>
        </w:rPr>
      </w:pPr>
    </w:p>
    <w:p w14:paraId="7B5700D3" w14:textId="0050D6EB" w:rsidR="00EB0EEB" w:rsidRDefault="00EB0EEB" w:rsidP="00B6536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R. Ecoffet. </w:t>
      </w:r>
      <w:r w:rsidRPr="00EB0EEB">
        <w:rPr>
          <w:rFonts w:asciiTheme="minorHAnsi" w:hAnsiTheme="minorHAnsi" w:cstheme="minorHAnsi"/>
          <w:lang w:val="en-US"/>
        </w:rPr>
        <w:t>Overview of in-orbit radia</w:t>
      </w:r>
      <w:r>
        <w:rPr>
          <w:rFonts w:asciiTheme="minorHAnsi" w:hAnsiTheme="minorHAnsi" w:cstheme="minorHAnsi"/>
          <w:lang w:val="en-US"/>
        </w:rPr>
        <w:t xml:space="preserve">tion induced spacecraft anomalies. Transactions on Nuclear Science, Volume 60, Issue 3, June 2013. </w:t>
      </w:r>
      <w:hyperlink r:id="rId16" w:history="1">
        <w:r w:rsidRPr="00D848A4">
          <w:rPr>
            <w:rStyle w:val="Hyperlink"/>
            <w:rFonts w:asciiTheme="minorHAnsi" w:hAnsiTheme="minorHAnsi" w:cstheme="minorHAnsi"/>
            <w:lang w:val="en-US"/>
          </w:rPr>
          <w:t>https://doi.org/10.1109/TNS.2013.2262002</w:t>
        </w:r>
      </w:hyperlink>
    </w:p>
    <w:p w14:paraId="3851AE64" w14:textId="0B87D0AC" w:rsidR="00886737" w:rsidRDefault="00886737" w:rsidP="00B6536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(24 pages)</w:t>
      </w:r>
    </w:p>
    <w:p w14:paraId="7DEC6689" w14:textId="77777777" w:rsidR="00EB0EEB" w:rsidRPr="00EB0EEB" w:rsidRDefault="00EB0EEB" w:rsidP="00B65364">
      <w:pPr>
        <w:rPr>
          <w:rFonts w:asciiTheme="minorHAnsi" w:hAnsiTheme="minorHAnsi" w:cstheme="minorHAnsi"/>
          <w:lang w:val="en-US"/>
        </w:rPr>
      </w:pPr>
    </w:p>
    <w:p w14:paraId="2B516CB0" w14:textId="77777777" w:rsidR="00EB0EEB" w:rsidRPr="00EB0EEB" w:rsidRDefault="00EB0EEB" w:rsidP="00B65364">
      <w:pPr>
        <w:rPr>
          <w:rFonts w:asciiTheme="minorHAnsi" w:hAnsiTheme="minorHAnsi" w:cstheme="minorHAnsi"/>
          <w:lang w:val="en-US"/>
        </w:rPr>
      </w:pPr>
    </w:p>
    <w:p w14:paraId="59B7F1B7" w14:textId="19EEDE59" w:rsidR="000B164A" w:rsidRPr="000B164A" w:rsidRDefault="000B164A" w:rsidP="00B65364">
      <w:pPr>
        <w:rPr>
          <w:rFonts w:asciiTheme="minorHAnsi" w:hAnsiTheme="minorHAnsi" w:cstheme="minorHAnsi"/>
          <w:lang w:val="en-US"/>
        </w:rPr>
      </w:pPr>
      <w:r w:rsidRPr="000B164A">
        <w:rPr>
          <w:rFonts w:asciiTheme="minorHAnsi" w:hAnsiTheme="minorHAnsi" w:cstheme="minorHAnsi"/>
          <w:lang w:val="en-US"/>
        </w:rPr>
        <w:t xml:space="preserve">Sinclair and Dyer, Radiation effects and COTS parts in SmallSats. Small Satellite Conference, 2013. (11 pages) </w:t>
      </w:r>
      <w:hyperlink r:id="rId17" w:history="1">
        <w:r w:rsidRPr="000B164A">
          <w:rPr>
            <w:rStyle w:val="Hyperlink"/>
            <w:rFonts w:asciiTheme="minorHAnsi" w:hAnsiTheme="minorHAnsi" w:cstheme="minorHAnsi"/>
            <w:lang w:val="en-US"/>
          </w:rPr>
          <w:t>https://digitalcommons.usu.edu/smallsat/2013/all2013/69/</w:t>
        </w:r>
      </w:hyperlink>
    </w:p>
    <w:p w14:paraId="307DA15D" w14:textId="77777777" w:rsidR="00EB0EEB" w:rsidRDefault="00EB0EEB" w:rsidP="000B164A">
      <w:pPr>
        <w:rPr>
          <w:rFonts w:asciiTheme="minorHAnsi" w:hAnsiTheme="minorHAnsi" w:cstheme="minorHAnsi"/>
          <w:lang w:val="en-US"/>
        </w:rPr>
      </w:pPr>
    </w:p>
    <w:p w14:paraId="4E7ECF4E" w14:textId="7BCADC98" w:rsidR="000B164A" w:rsidRDefault="000B164A" w:rsidP="000B164A">
      <w:pPr>
        <w:rPr>
          <w:rFonts w:asciiTheme="minorHAnsi" w:hAnsiTheme="minorHAnsi" w:cstheme="minorHAnsi"/>
        </w:rPr>
      </w:pPr>
      <w:r w:rsidRPr="000B164A">
        <w:rPr>
          <w:rFonts w:asciiTheme="minorHAnsi" w:hAnsiTheme="minorHAnsi" w:cstheme="minorHAnsi"/>
          <w:lang w:val="en-US"/>
        </w:rPr>
        <w:t>Bagatin et al., Space and terrestrial radiation effects in flash memories. Semiconductor Science and Technology, Volume 32,</w:t>
      </w:r>
      <w:r>
        <w:rPr>
          <w:rFonts w:cstheme="minorHAnsi"/>
          <w:lang w:val="en-US"/>
        </w:rPr>
        <w:t xml:space="preserve"> Number 3,</w:t>
      </w:r>
      <w:r w:rsidRPr="000B164A">
        <w:rPr>
          <w:rFonts w:asciiTheme="minorHAnsi" w:hAnsiTheme="minorHAnsi" w:cstheme="minorHAnsi"/>
          <w:lang w:val="en-US"/>
        </w:rPr>
        <w:t xml:space="preserve"> 2017. (9 pages) </w:t>
      </w:r>
      <w:hyperlink r:id="rId18" w:history="1">
        <w:r w:rsidRPr="000B164A">
          <w:rPr>
            <w:rStyle w:val="Hyperlink"/>
            <w:rFonts w:asciiTheme="minorHAnsi" w:hAnsiTheme="minorHAnsi" w:cstheme="minorHAnsi"/>
            <w:lang w:val="en-US"/>
          </w:rPr>
          <w:t>https://doi.org/10.1088/1361-6641/32/3/033003</w:t>
        </w:r>
      </w:hyperlink>
    </w:p>
    <w:p w14:paraId="6996FB46" w14:textId="60328C56" w:rsidR="00EB0EEB" w:rsidRDefault="00EB0EEB" w:rsidP="000B164A">
      <w:pPr>
        <w:rPr>
          <w:rFonts w:asciiTheme="minorHAnsi" w:hAnsiTheme="minorHAnsi" w:cstheme="minorHAnsi"/>
        </w:rPr>
      </w:pPr>
    </w:p>
    <w:p w14:paraId="7AD36AB5" w14:textId="77777777" w:rsidR="000B164A" w:rsidRPr="000B164A" w:rsidRDefault="000B164A" w:rsidP="000B164A">
      <w:pPr>
        <w:rPr>
          <w:rFonts w:asciiTheme="minorHAnsi" w:hAnsiTheme="minorHAnsi" w:cstheme="minorHAnsi"/>
          <w:lang w:val="en-US"/>
        </w:rPr>
      </w:pPr>
    </w:p>
    <w:p w14:paraId="14D0EDA7" w14:textId="77777777" w:rsidR="000B164A" w:rsidRPr="000B164A" w:rsidRDefault="000B164A" w:rsidP="00E44608">
      <w:pPr>
        <w:rPr>
          <w:rFonts w:asciiTheme="minorHAnsi" w:hAnsiTheme="minorHAnsi" w:cstheme="minorHAnsi"/>
          <w:lang w:val="en-US"/>
        </w:rPr>
      </w:pPr>
    </w:p>
    <w:p w14:paraId="7A4F06AE" w14:textId="77777777" w:rsidR="000B164A" w:rsidRPr="00B65364" w:rsidRDefault="000B164A" w:rsidP="00E44608">
      <w:pPr>
        <w:rPr>
          <w:rFonts w:asciiTheme="minorHAnsi" w:hAnsiTheme="minorHAnsi" w:cstheme="minorHAnsi"/>
          <w:lang w:val="en-US"/>
        </w:rPr>
      </w:pPr>
    </w:p>
    <w:sectPr w:rsidR="000B164A" w:rsidRPr="00B65364" w:rsidSect="003D16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6386"/>
    <w:multiLevelType w:val="hybridMultilevel"/>
    <w:tmpl w:val="A84C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6"/>
    <w:rsid w:val="00047730"/>
    <w:rsid w:val="000B164A"/>
    <w:rsid w:val="002027BB"/>
    <w:rsid w:val="00263A68"/>
    <w:rsid w:val="00291772"/>
    <w:rsid w:val="00370196"/>
    <w:rsid w:val="003D16D8"/>
    <w:rsid w:val="00717DA5"/>
    <w:rsid w:val="0081266B"/>
    <w:rsid w:val="00865F32"/>
    <w:rsid w:val="00886737"/>
    <w:rsid w:val="008A21BC"/>
    <w:rsid w:val="008C0A86"/>
    <w:rsid w:val="00A21C7F"/>
    <w:rsid w:val="00A801EC"/>
    <w:rsid w:val="00B65364"/>
    <w:rsid w:val="00C3252D"/>
    <w:rsid w:val="00E44608"/>
    <w:rsid w:val="00EB0EEB"/>
    <w:rsid w:val="00E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CCFC"/>
  <w15:chartTrackingRefBased/>
  <w15:docId w15:val="{6A22979D-12A3-A749-9ABF-F90B35D9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2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6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8A21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1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65364"/>
  </w:style>
  <w:style w:type="paragraph" w:styleId="NormalWeb">
    <w:name w:val="Normal (Web)"/>
    <w:basedOn w:val="Normal"/>
    <w:uiPriority w:val="99"/>
    <w:semiHidden/>
    <w:unhideWhenUsed/>
    <w:rsid w:val="00B6536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3252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1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space.wpengine.netdna-cdn.com/wp-content/uploads/crosslink/CrosslinkV4N2.pdf" TargetMode="External"/><Relationship Id="rId13" Type="http://schemas.openxmlformats.org/officeDocument/2006/relationships/hyperlink" Target="https://cds.cern.ch/record/478245/files/p50.pdf" TargetMode="External"/><Relationship Id="rId18" Type="http://schemas.openxmlformats.org/officeDocument/2006/relationships/hyperlink" Target="https://doi.org/10.1088/1361-6641/32/3/033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rospace.wpengine.netdna-cdn.com/wp-content/uploads/crosslink/CrosslinkV4N2.pdf" TargetMode="External"/><Relationship Id="rId12" Type="http://schemas.openxmlformats.org/officeDocument/2006/relationships/hyperlink" Target="https://doi.org/10.1557/mrs2003.42" TargetMode="External"/><Relationship Id="rId17" Type="http://schemas.openxmlformats.org/officeDocument/2006/relationships/hyperlink" Target="https://digitalcommons.usu.edu/smallsat/2013/all2013/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09/TNS.2013.22620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1-4419-6993-4" TargetMode="External"/><Relationship Id="rId11" Type="http://schemas.openxmlformats.org/officeDocument/2006/relationships/hyperlink" Target="http://ieeexplore.ieee.org/document/1545891/" TargetMode="External"/><Relationship Id="rId5" Type="http://schemas.openxmlformats.org/officeDocument/2006/relationships/hyperlink" Target="http://www.ti.com/radbook" TargetMode="External"/><Relationship Id="rId15" Type="http://schemas.openxmlformats.org/officeDocument/2006/relationships/hyperlink" Target="https://doi.org/10.1109/TNS.2013.2261317" TargetMode="External"/><Relationship Id="rId10" Type="http://schemas.openxmlformats.org/officeDocument/2006/relationships/hyperlink" Target="https://doi.org/10.1109/TNS.2013.22480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erospace.wpengine.netdna-cdn.com/wp-content/uploads/crosslink/CrosslinkV4N2.pdf" TargetMode="External"/><Relationship Id="rId14" Type="http://schemas.openxmlformats.org/officeDocument/2006/relationships/hyperlink" Target="https://doi.org/10.1088/1361-6641/aa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985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Røed</dc:creator>
  <cp:keywords/>
  <dc:description/>
  <cp:lastModifiedBy>Christine Una Sundtveten</cp:lastModifiedBy>
  <cp:revision>2</cp:revision>
  <dcterms:created xsi:type="dcterms:W3CDTF">2020-01-16T11:56:00Z</dcterms:created>
  <dcterms:modified xsi:type="dcterms:W3CDTF">2020-01-16T11:56:00Z</dcterms:modified>
</cp:coreProperties>
</file>